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7B" w:rsidRDefault="0087257B" w:rsidP="0087257B">
      <w:pPr>
        <w:pStyle w:val="a6"/>
        <w:shd w:val="clear" w:color="auto" w:fill="F5F5F5"/>
        <w:spacing w:before="0" w:beforeAutospacing="0" w:after="0" w:afterAutospacing="0" w:line="328" w:lineRule="atLeast"/>
        <w:jc w:val="center"/>
        <w:rPr>
          <w:rFonts w:ascii="Arial" w:hAnsi="Arial" w:cs="Arial"/>
          <w:color w:val="181818"/>
          <w:sz w:val="23"/>
          <w:szCs w:val="23"/>
        </w:rPr>
      </w:pPr>
      <w:r>
        <w:rPr>
          <w:b/>
          <w:bCs/>
          <w:color w:val="FF0000"/>
          <w:sz w:val="72"/>
          <w:szCs w:val="72"/>
        </w:rPr>
        <w:t>Жизнь без наркотиков!!!</w:t>
      </w:r>
      <w:r>
        <w:rPr>
          <w:noProof/>
        </w:rPr>
        <w:drawing>
          <wp:inline distT="0" distB="0" distL="0" distR="0">
            <wp:extent cx="3362325" cy="2457450"/>
            <wp:effectExtent l="19050" t="0" r="9525" b="0"/>
            <wp:docPr id="2" name="Рисунок 2" descr="hello_html_5b7d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b7d7bd.jpg"/>
                    <pic:cNvPicPr>
                      <a:picLocks noChangeAspect="1" noChangeArrowheads="1"/>
                    </pic:cNvPicPr>
                  </pic:nvPicPr>
                  <pic:blipFill>
                    <a:blip r:embed="rId5" cstate="print"/>
                    <a:srcRect/>
                    <a:stretch>
                      <a:fillRect/>
                    </a:stretch>
                  </pic:blipFill>
                  <pic:spPr bwMode="auto">
                    <a:xfrm>
                      <a:off x="0" y="0"/>
                      <a:ext cx="3362325" cy="2457450"/>
                    </a:xfrm>
                    <a:prstGeom prst="rect">
                      <a:avLst/>
                    </a:prstGeom>
                    <a:noFill/>
                    <a:ln w="9525">
                      <a:noFill/>
                      <a:miter lim="800000"/>
                      <a:headEnd/>
                      <a:tailEnd/>
                    </a:ln>
                  </pic:spPr>
                </pic:pic>
              </a:graphicData>
            </a:graphic>
          </wp:inline>
        </w:drawing>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Уберечь ребенка от наркотиков.</w:t>
      </w:r>
      <w:r w:rsidRPr="0087257B">
        <w:rPr>
          <w:color w:val="181818"/>
          <w:sz w:val="28"/>
          <w:szCs w:val="27"/>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Как сохранить возможность свободного общения в семье. </w:t>
      </w:r>
      <w:r w:rsidRPr="0087257B">
        <w:rPr>
          <w:color w:val="181818"/>
          <w:sz w:val="28"/>
          <w:szCs w:val="27"/>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xml:space="preserve">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w:t>
      </w:r>
      <w:r w:rsidRPr="0087257B">
        <w:rPr>
          <w:color w:val="181818"/>
          <w:sz w:val="28"/>
          <w:szCs w:val="27"/>
        </w:rPr>
        <w:lastRenderedPageBreak/>
        <w:t>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Как говорить с детьми о наркотиках.</w:t>
      </w:r>
      <w:r w:rsidRPr="0087257B">
        <w:rPr>
          <w:color w:val="181818"/>
          <w:sz w:val="28"/>
          <w:szCs w:val="27"/>
        </w:rPr>
        <w:t> 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Вот некоторые рекомендации</w:t>
      </w:r>
      <w:r w:rsidRPr="0087257B">
        <w:rPr>
          <w:color w:val="181818"/>
          <w:sz w:val="28"/>
          <w:szCs w:val="27"/>
        </w:rPr>
        <w:t> того, каким образом лучше строить разговор с ребенком о наркотиках:</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Разговор можно начать с вопроса: «Что ты слышал о наркотиках?».</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Держите под рукой лист бумаги и ручку и позвольте ребенку записать любые возникшие в ходе беседы вопросы.</w:t>
      </w:r>
    </w:p>
    <w:p w:rsidR="0087257B" w:rsidRPr="0087257B" w:rsidRDefault="0087257B" w:rsidP="0087257B">
      <w:pPr>
        <w:pStyle w:val="a6"/>
        <w:numPr>
          <w:ilvl w:val="0"/>
          <w:numId w:val="1"/>
        </w:numPr>
        <w:shd w:val="clear" w:color="auto" w:fill="F5F5F5"/>
        <w:spacing w:before="0" w:beforeAutospacing="0" w:after="0" w:afterAutospacing="0"/>
        <w:ind w:left="0" w:firstLine="709"/>
        <w:jc w:val="both"/>
        <w:rPr>
          <w:rFonts w:ascii="Arial" w:hAnsi="Arial" w:cs="Arial"/>
          <w:color w:val="181818"/>
          <w:szCs w:val="23"/>
        </w:rPr>
      </w:pPr>
      <w:r w:rsidRPr="0087257B">
        <w:rPr>
          <w:color w:val="181818"/>
          <w:sz w:val="28"/>
          <w:szCs w:val="27"/>
        </w:rPr>
        <w:t>Говорите с ребенком не про него, а с ним.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w:t>
      </w:r>
      <w:r w:rsidRPr="0087257B">
        <w:rPr>
          <w:color w:val="181818"/>
          <w:sz w:val="28"/>
          <w:szCs w:val="27"/>
        </w:rPr>
        <w:lastRenderedPageBreak/>
        <w:t>содержаться слишком сложные и непонятные слова, а если что-то новое проговаривается, то необходимо пояснять значение нового слова.</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Общение с детьми 4 – 5 лет.</w:t>
      </w:r>
      <w:r w:rsidRPr="0087257B">
        <w:rPr>
          <w:color w:val="181818"/>
          <w:sz w:val="28"/>
          <w:szCs w:val="27"/>
        </w:rPr>
        <w:t> 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Поощряйте вашего ребенка следовать указаниям и задавать вопросы, если он не понимает указания.</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Общение с ребенком 5 – 8 лет.</w:t>
      </w:r>
      <w:r w:rsidRPr="0087257B">
        <w:rPr>
          <w:color w:val="181818"/>
          <w:sz w:val="28"/>
          <w:szCs w:val="27"/>
        </w:rPr>
        <w:t> 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Дети должны понимать:</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как отличаются друг от друга продукты питания, яды, лекарства и наркотики;</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lastRenderedPageBreak/>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почему взрослые могут пить алкоголь, а дети не могут, причем даже в небольших количествах.</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b/>
          <w:bCs/>
          <w:color w:val="181818"/>
          <w:sz w:val="28"/>
          <w:szCs w:val="27"/>
        </w:rPr>
        <w:t>Общение с ребенком 9 – 11 лет.</w:t>
      </w:r>
      <w:r w:rsidRPr="0087257B">
        <w:rPr>
          <w:color w:val="181818"/>
          <w:sz w:val="28"/>
          <w:szCs w:val="27"/>
        </w:rPr>
        <w:t>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Ребенок в этом возрасте должен знать следующее:</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как и почему возникает привыкание к наркотикам, как они могут приводить к потере контроля над своей жизнью;</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причины того, почему наркотики особенно опасны для растущего организма;</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проблемы, которые алкоголь и другие наркотики создают не только для того, кто их принимает, но и для его семьи и мира в целом.</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b/>
          <w:bCs/>
          <w:color w:val="181818"/>
          <w:sz w:val="28"/>
          <w:szCs w:val="27"/>
        </w:rPr>
        <w:t>Общение с подростком 12 – 14 лет.</w:t>
      </w:r>
      <w:r w:rsidRPr="0087257B">
        <w:rPr>
          <w:color w:val="181818"/>
          <w:sz w:val="28"/>
          <w:szCs w:val="27"/>
        </w:rPr>
        <w:t xml:space="preserve"> 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w:t>
      </w:r>
      <w:r w:rsidRPr="0087257B">
        <w:rPr>
          <w:color w:val="181818"/>
          <w:sz w:val="28"/>
          <w:szCs w:val="27"/>
        </w:rPr>
        <w:lastRenderedPageBreak/>
        <w:t>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неполучение важнейших социальных и эмоциональных навыков, которые обычно приобретают в юности;</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color w:val="181818"/>
          <w:sz w:val="28"/>
          <w:szCs w:val="27"/>
        </w:rPr>
        <w:t>- автотранспортные происшествия со смертельным исходом и увечьями, а также повреждение печени в результате сильного пьянства;</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 привыкание и смерть.</w:t>
      </w:r>
    </w:p>
    <w:p w:rsidR="0087257B" w:rsidRDefault="0087257B" w:rsidP="0087257B">
      <w:pPr>
        <w:pStyle w:val="a6"/>
        <w:shd w:val="clear" w:color="auto" w:fill="F5F5F5"/>
        <w:spacing w:before="0" w:beforeAutospacing="0" w:after="0" w:afterAutospacing="0"/>
        <w:ind w:firstLine="709"/>
        <w:jc w:val="both"/>
        <w:rPr>
          <w:color w:val="181818"/>
          <w:sz w:val="28"/>
          <w:szCs w:val="27"/>
        </w:rPr>
      </w:pPr>
      <w:r w:rsidRPr="0087257B">
        <w:rPr>
          <w:b/>
          <w:bCs/>
          <w:color w:val="181818"/>
          <w:sz w:val="28"/>
          <w:szCs w:val="27"/>
        </w:rPr>
        <w:t>Общение с подростком 15 – 17 лет.</w:t>
      </w:r>
      <w:r w:rsidRPr="0087257B">
        <w:rPr>
          <w:color w:val="181818"/>
          <w:sz w:val="28"/>
          <w:szCs w:val="27"/>
        </w:rPr>
        <w:t>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w:t>
      </w:r>
      <w:proofErr w:type="gramStart"/>
      <w:r w:rsidRPr="0087257B">
        <w:rPr>
          <w:color w:val="181818"/>
          <w:sz w:val="28"/>
          <w:szCs w:val="27"/>
        </w:rPr>
        <w:t>,</w:t>
      </w:r>
      <w:proofErr w:type="gramEnd"/>
      <w:r w:rsidRPr="0087257B">
        <w:rPr>
          <w:color w:val="181818"/>
          <w:sz w:val="28"/>
          <w:szCs w:val="27"/>
        </w:rPr>
        <w:t xml:space="preserve">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87257B" w:rsidRPr="0087257B" w:rsidRDefault="0087257B" w:rsidP="0087257B">
      <w:pPr>
        <w:pStyle w:val="a6"/>
        <w:shd w:val="clear" w:color="auto" w:fill="F5F5F5"/>
        <w:spacing w:before="0" w:beforeAutospacing="0" w:after="0" w:afterAutospacing="0"/>
        <w:ind w:firstLine="709"/>
        <w:jc w:val="both"/>
        <w:rPr>
          <w:rFonts w:ascii="Arial" w:hAnsi="Arial" w:cs="Arial"/>
          <w:color w:val="181818"/>
          <w:szCs w:val="23"/>
        </w:rPr>
      </w:pPr>
      <w:r w:rsidRPr="0087257B">
        <w:rPr>
          <w:color w:val="181818"/>
          <w:sz w:val="28"/>
          <w:szCs w:val="27"/>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730683" w:rsidRPr="0087257B" w:rsidRDefault="00730683" w:rsidP="0087257B">
      <w:pPr>
        <w:spacing w:after="0" w:line="240" w:lineRule="auto"/>
        <w:ind w:firstLine="709"/>
        <w:jc w:val="both"/>
        <w:rPr>
          <w:sz w:val="32"/>
        </w:rPr>
      </w:pPr>
    </w:p>
    <w:sectPr w:rsidR="00730683" w:rsidRPr="0087257B" w:rsidSect="0087257B">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200AC"/>
    <w:multiLevelType w:val="multilevel"/>
    <w:tmpl w:val="AE1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87257B"/>
    <w:rsid w:val="00001989"/>
    <w:rsid w:val="00107363"/>
    <w:rsid w:val="00107852"/>
    <w:rsid w:val="00333797"/>
    <w:rsid w:val="003614C3"/>
    <w:rsid w:val="006D32FC"/>
    <w:rsid w:val="00730683"/>
    <w:rsid w:val="0075175A"/>
    <w:rsid w:val="008049EA"/>
    <w:rsid w:val="008617AD"/>
    <w:rsid w:val="00870D92"/>
    <w:rsid w:val="0087257B"/>
    <w:rsid w:val="00A700E8"/>
    <w:rsid w:val="00BB6A46"/>
    <w:rsid w:val="00C366AE"/>
    <w:rsid w:val="00C775EC"/>
    <w:rsid w:val="00CD6ACC"/>
    <w:rsid w:val="00DC518B"/>
    <w:rsid w:val="00DD2DF4"/>
    <w:rsid w:val="00E31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F4"/>
  </w:style>
  <w:style w:type="paragraph" w:styleId="1">
    <w:name w:val="heading 1"/>
    <w:basedOn w:val="a"/>
    <w:next w:val="a"/>
    <w:link w:val="10"/>
    <w:uiPriority w:val="9"/>
    <w:qFormat/>
    <w:rsid w:val="00DD2DF4"/>
    <w:pPr>
      <w:keepNext/>
      <w:keepLines/>
      <w:spacing w:before="480" w:after="0"/>
      <w:jc w:val="both"/>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DD2DF4"/>
    <w:pPr>
      <w:keepNext/>
      <w:keepLines/>
      <w:spacing w:before="200" w:after="0"/>
      <w:jc w:val="both"/>
      <w:outlineLvl w:val="1"/>
    </w:pPr>
    <w:rPr>
      <w:rFonts w:asciiTheme="majorHAnsi" w:eastAsiaTheme="majorEastAsia" w:hAnsiTheme="majorHAnsi" w:cstheme="majorBidi"/>
      <w:b/>
      <w:bCs/>
      <w:color w:val="000000" w:themeColor="text1"/>
      <w:sz w:val="26"/>
      <w:szCs w:val="26"/>
    </w:rPr>
  </w:style>
  <w:style w:type="paragraph" w:styleId="3">
    <w:name w:val="heading 3"/>
    <w:basedOn w:val="a"/>
    <w:next w:val="a"/>
    <w:link w:val="30"/>
    <w:uiPriority w:val="9"/>
    <w:unhideWhenUsed/>
    <w:qFormat/>
    <w:rsid w:val="00DD2DF4"/>
    <w:pPr>
      <w:keepNext/>
      <w:keepLines/>
      <w:spacing w:before="200" w:after="0"/>
      <w:jc w:val="both"/>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DD2DF4"/>
    <w:pPr>
      <w:keepNext/>
      <w:keepLines/>
      <w:spacing w:before="200" w:after="0"/>
      <w:jc w:val="both"/>
      <w:outlineLvl w:val="3"/>
    </w:pPr>
    <w:rPr>
      <w:rFonts w:asciiTheme="majorHAnsi" w:eastAsiaTheme="majorEastAsia" w:hAnsiTheme="majorHAnsi" w:cstheme="majorBidi"/>
      <w:b/>
      <w:bCs/>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DF4"/>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DD2DF4"/>
    <w:rPr>
      <w:rFonts w:asciiTheme="majorHAnsi" w:eastAsiaTheme="majorEastAsia" w:hAnsiTheme="majorHAnsi" w:cstheme="majorBidi"/>
      <w:b/>
      <w:bCs/>
      <w:color w:val="000000" w:themeColor="text1"/>
      <w:sz w:val="26"/>
      <w:szCs w:val="26"/>
    </w:rPr>
  </w:style>
  <w:style w:type="character" w:customStyle="1" w:styleId="30">
    <w:name w:val="Заголовок 3 Знак"/>
    <w:basedOn w:val="a0"/>
    <w:link w:val="3"/>
    <w:uiPriority w:val="9"/>
    <w:rsid w:val="00DD2DF4"/>
    <w:rPr>
      <w:rFonts w:asciiTheme="majorHAnsi" w:eastAsiaTheme="majorEastAsia" w:hAnsiTheme="majorHAnsi" w:cstheme="majorBidi"/>
      <w:b/>
      <w:bCs/>
    </w:rPr>
  </w:style>
  <w:style w:type="character" w:customStyle="1" w:styleId="40">
    <w:name w:val="Заголовок 4 Знак"/>
    <w:basedOn w:val="a0"/>
    <w:link w:val="4"/>
    <w:uiPriority w:val="9"/>
    <w:rsid w:val="00DD2DF4"/>
    <w:rPr>
      <w:rFonts w:asciiTheme="majorHAnsi" w:eastAsiaTheme="majorEastAsia" w:hAnsiTheme="majorHAnsi" w:cstheme="majorBidi"/>
      <w:b/>
      <w:bCs/>
      <w:iCs/>
      <w:color w:val="000000" w:themeColor="text1"/>
    </w:rPr>
  </w:style>
  <w:style w:type="paragraph" w:styleId="a3">
    <w:name w:val="No Spacing"/>
    <w:uiPriority w:val="1"/>
    <w:qFormat/>
    <w:rsid w:val="00DD2DF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D2DF4"/>
    <w:pPr>
      <w:ind w:left="720"/>
      <w:contextualSpacing/>
    </w:pPr>
  </w:style>
  <w:style w:type="paragraph" w:styleId="a5">
    <w:name w:val="TOC Heading"/>
    <w:basedOn w:val="1"/>
    <w:next w:val="a"/>
    <w:uiPriority w:val="39"/>
    <w:semiHidden/>
    <w:unhideWhenUsed/>
    <w:qFormat/>
    <w:rsid w:val="00DD2DF4"/>
    <w:pPr>
      <w:jc w:val="left"/>
      <w:outlineLvl w:val="9"/>
    </w:pPr>
    <w:rPr>
      <w:color w:val="365F91" w:themeColor="accent1" w:themeShade="BF"/>
    </w:rPr>
  </w:style>
  <w:style w:type="paragraph" w:styleId="a6">
    <w:name w:val="Normal (Web)"/>
    <w:basedOn w:val="a"/>
    <w:uiPriority w:val="99"/>
    <w:semiHidden/>
    <w:unhideWhenUsed/>
    <w:rsid w:val="0087257B"/>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8725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2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2006</Words>
  <Characters>11440</Characters>
  <Application>Microsoft Office Word</Application>
  <DocSecurity>0</DocSecurity>
  <Lines>95</Lines>
  <Paragraphs>26</Paragraphs>
  <ScaleCrop>false</ScaleCrop>
  <Company>Repack by Conductor</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2022-01-11T10:37:00Z</dcterms:created>
  <dcterms:modified xsi:type="dcterms:W3CDTF">2022-01-11T10:41:00Z</dcterms:modified>
</cp:coreProperties>
</file>